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0"/>
        <w:jc w:val="left"/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atLeast"/>
        <w:ind w:firstLine="60"/>
        <w:jc w:val="center"/>
        <w:rPr>
          <w:rFonts w:ascii="Verdana" w:hAnsi="Verdana" w:eastAsia="宋体" w:cs="宋体"/>
          <w:color w:val="42515A"/>
          <w:kern w:val="0"/>
          <w:sz w:val="36"/>
          <w:szCs w:val="36"/>
        </w:rPr>
      </w:pPr>
      <w:r>
        <w:rPr>
          <w:rFonts w:ascii="Verdana" w:hAnsi="Verdana" w:eastAsia="宋体" w:cs="宋体"/>
          <w:b/>
          <w:bCs/>
          <w:color w:val="42515A"/>
          <w:kern w:val="0"/>
          <w:sz w:val="36"/>
          <w:szCs w:val="36"/>
        </w:rPr>
        <w:t>远程继续教育系统使用说明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本系统采用web页面模式，学员通过访问系统网站（http://nmg.tdgjs.com）进行各项学习活动。系统包括所有课程、已学习课程、个人信息等内容。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一、登录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土地估价师在系统登录页面，输入账号密码进行学习资格审核。（注：推荐使用Google Chrome浏览器。）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登录账号为：姓名或资格证号，登录密码为：身份证后六位。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二、学习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登录系统后会出现视频学习点播页面，学员可自行选择要学习的课程进行点播。学员可选择不同课程，每个课程下分多个课件。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、集中确认和申报学时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学员学习完所有课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程后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，系统自动进行学习记录统计。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  <w:t>内估协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将集中进行学时确认及学时申报。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网络继续教育技术支持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QQ号：2690224836 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 xml:space="preserve">电话： 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  <w:lang w:val="en-US" w:eastAsia="zh-CN"/>
        </w:rPr>
        <w:t>18610366908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CBB"/>
    <w:rsid w:val="444C2CBB"/>
    <w:rsid w:val="4D7220CF"/>
    <w:rsid w:val="4EC32038"/>
    <w:rsid w:val="6991232D"/>
    <w:rsid w:val="6F0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2019-04-08T07:06:00Z</dcterms:created>
  <dc:creator>LZW</dc:creator>
  <cp:lastModifiedBy>等风的风筝</cp:lastModifiedBy>
  <dcterms:modified xsi:type="dcterms:W3CDTF">2022-04-11T08:46:53Z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4255EBEF7B7E4533AAD101CEBBAD28F0</vt:lpwstr>
  </property>
</Properties>
</file>