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ind w:firstLine="60"/>
        <w:jc w:val="left"/>
        <w:rPr>
          <w:rFonts w:hint="eastAsia" w:ascii="Verdana" w:hAnsi="Verdana" w:eastAsia="宋体" w:cs="宋体"/>
          <w:b w:val="0"/>
          <w:bCs w:val="0"/>
          <w:color w:val="42515A"/>
          <w:kern w:val="0"/>
          <w:sz w:val="28"/>
          <w:szCs w:val="28"/>
          <w:lang w:val="en-US" w:eastAsia="zh-CN"/>
        </w:rPr>
      </w:pPr>
      <w:r>
        <w:rPr>
          <w:rFonts w:hint="eastAsia" w:ascii="Verdana" w:hAnsi="Verdana" w:eastAsia="宋体" w:cs="宋体"/>
          <w:b w:val="0"/>
          <w:bCs w:val="0"/>
          <w:color w:val="42515A"/>
          <w:kern w:val="0"/>
          <w:sz w:val="28"/>
          <w:szCs w:val="28"/>
          <w:lang w:val="en-US" w:eastAsia="zh-CN"/>
        </w:rPr>
        <w:t>附件：</w:t>
      </w:r>
    </w:p>
    <w:p>
      <w:pPr>
        <w:widowControl/>
        <w:shd w:val="clear" w:color="auto" w:fill="FFFFFF"/>
        <w:spacing w:line="560" w:lineRule="atLeast"/>
        <w:ind w:firstLine="60"/>
        <w:jc w:val="center"/>
        <w:rPr>
          <w:rFonts w:ascii="Verdana" w:hAnsi="Verdana" w:eastAsia="宋体" w:cs="宋体"/>
          <w:color w:val="42515A"/>
          <w:kern w:val="0"/>
          <w:sz w:val="36"/>
          <w:szCs w:val="36"/>
        </w:rPr>
      </w:pPr>
      <w:r>
        <w:rPr>
          <w:rFonts w:ascii="Verdana" w:hAnsi="Verdana" w:eastAsia="宋体" w:cs="宋体"/>
          <w:b/>
          <w:bCs/>
          <w:color w:val="42515A"/>
          <w:kern w:val="0"/>
          <w:sz w:val="36"/>
          <w:szCs w:val="36"/>
        </w:rPr>
        <w:t>远程继续教育系统使用说明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本系统采用web页面模式，学员通过访问系统网站（http://nmg.tdgjs.com）进行各项学习活动。系统包括所有课程、已学习课程、个人信息等内容。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一、登录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土地估价师在系统登录页面，输入账号密码进行学习资格审核。（注：推荐使用Google Chrome浏览器。）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登录账号为：姓名或资格证号，登录密码为：身份证后六位。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二、学习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登录系统后会出现视频学习点播页面，学员可自行选择要学习的课程进行点播。学员可选择不同课程，每个课程下分多个课件。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、集中确认和申报学时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学员学习完所有课</w:t>
      </w:r>
      <w:r>
        <w:rPr>
          <w:rFonts w:hint="eastAsia" w:ascii="仿宋" w:hAnsi="仿宋" w:eastAsia="仿宋" w:cs="仿宋"/>
          <w:color w:val="42515A"/>
          <w:kern w:val="0"/>
          <w:sz w:val="32"/>
          <w:szCs w:val="32"/>
          <w:lang w:eastAsia="zh-CN"/>
        </w:rPr>
        <w:t>程后</w:t>
      </w: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，系统自动进行学习记录统计。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  <w:lang w:val="en-US" w:eastAsia="zh-CN"/>
        </w:rPr>
        <w:t>内估协</w:t>
      </w: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将集中进行学时确认及学时申报。</w:t>
      </w:r>
      <w:bookmarkStart w:id="0" w:name="_GoBack"/>
      <w:bookmarkEnd w:id="0"/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42515A"/>
          <w:sz w:val="32"/>
          <w:szCs w:val="32"/>
          <w:shd w:val="clear" w:color="auto" w:fill="FFFFFF"/>
        </w:rPr>
        <w:t>网络继续教育技术支持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2515A"/>
          <w:sz w:val="32"/>
          <w:szCs w:val="32"/>
          <w:shd w:val="clear" w:color="auto" w:fill="FFFFFF"/>
        </w:rPr>
        <w:t>QQ号：2690224836 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42515A"/>
          <w:sz w:val="32"/>
          <w:szCs w:val="32"/>
          <w:shd w:val="clear" w:color="auto" w:fill="FFFFFF"/>
        </w:rPr>
        <w:t xml:space="preserve">电话： </w:t>
      </w:r>
      <w:r>
        <w:rPr>
          <w:rFonts w:hint="eastAsia" w:ascii="仿宋" w:hAnsi="仿宋" w:eastAsia="仿宋" w:cs="仿宋"/>
          <w:color w:val="42515A"/>
          <w:sz w:val="32"/>
          <w:szCs w:val="32"/>
          <w:shd w:val="clear" w:color="auto" w:fill="FFFFFF"/>
          <w:lang w:val="en-US" w:eastAsia="zh-CN"/>
        </w:rPr>
        <w:t>18610366908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C2CBB"/>
    <w:rsid w:val="444C2CBB"/>
    <w:rsid w:val="4D7220CF"/>
    <w:rsid w:val="4EC32038"/>
    <w:rsid w:val="6991232D"/>
    <w:rsid w:val="6F0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2019-04-08T07:06:00Z</dcterms:created>
  <dc:creator>LZW</dc:creator>
  <cp:lastModifiedBy>等风的风筝</cp:lastModifiedBy>
  <dcterms:modified xsi:type="dcterms:W3CDTF">2022-04-11T08:46:53Z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4255EBEF7B7E4533AAD101CEBBAD28F0</vt:lpwstr>
  </property>
</Properties>
</file>