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firstLine="60"/>
        <w:jc w:val="left"/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</w:pPr>
      <w:r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  <w:t>附件：</w:t>
      </w:r>
    </w:p>
    <w:p>
      <w:pPr>
        <w:widowControl/>
        <w:shd w:val="clear" w:color="auto" w:fill="FFFFFF"/>
        <w:spacing w:line="560" w:lineRule="atLeast"/>
        <w:ind w:firstLine="60"/>
        <w:jc w:val="center"/>
        <w:rPr>
          <w:rFonts w:ascii="Verdana" w:hAnsi="Verdana" w:eastAsia="宋体" w:cs="宋体"/>
          <w:color w:val="42515A"/>
          <w:kern w:val="0"/>
          <w:sz w:val="36"/>
          <w:szCs w:val="36"/>
        </w:rPr>
      </w:pPr>
      <w:r>
        <w:rPr>
          <w:rFonts w:ascii="Verdana" w:hAnsi="Verdana" w:eastAsia="宋体" w:cs="宋体"/>
          <w:b/>
          <w:bCs/>
          <w:color w:val="42515A"/>
          <w:kern w:val="0"/>
          <w:sz w:val="36"/>
          <w:szCs w:val="36"/>
        </w:rPr>
        <w:t>远程继续教育系统使用说明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本系统采用web页面模式，学员通过访问系统网站（http://nmg.tdgjs.com）进行各项学习活动。系统包括所有课程、已学习课程、个人信息等内容。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一、登录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土地估价师在系统登录页面，输入账号密码进行学习资格审核。（注：推荐使用Google Chrome浏览器。）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登录账号为：姓名或资格证号，登录密码为：身份证后六位。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二、学习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登录系统后会出现视频学习点播页面，学员可自行选择要学习的课程进行点播。学员可选择不同课程，每个课程下分多个课件。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、协会集中确认和申报学时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学员学习完所有课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eastAsia="zh-CN"/>
        </w:rPr>
        <w:t>程后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，系统自动进行学习记录统计。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val="en-US" w:eastAsia="zh-CN"/>
        </w:rPr>
        <w:t>内土协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将集中进行学时确认及学时申报。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五、</w:t>
      </w: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>网络继续教育技术支持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>QQ号：2690224836 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 xml:space="preserve">电话： </w:t>
      </w: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  <w:lang w:val="en-US" w:eastAsia="zh-CN"/>
        </w:rPr>
        <w:t>18610366908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Mzg3MTg2YTljMDcyZjdhN2E1ZGNjMDNmYTQyOTkifQ=="/>
  </w:docVars>
  <w:rsids>
    <w:rsidRoot w:val="444C2CBB"/>
    <w:rsid w:val="01B53DC8"/>
    <w:rsid w:val="444C2CBB"/>
    <w:rsid w:val="4D7220CF"/>
    <w:rsid w:val="4EC3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330</Characters>
  <Lines>0</Lines>
  <Paragraphs>0</Paragraphs>
  <TotalTime>3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2019-04-08T07:06:00Z</dcterms:created>
  <dc:creator>LZW</dc:creator>
  <cp:lastModifiedBy>等风的风筝</cp:lastModifiedBy>
  <dcterms:modified xsi:type="dcterms:W3CDTF">2023-03-20T02:40:08Z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4255EBEF7B7E4533AAD101CEBBAD28F0</vt:lpwstr>
  </property>
</Properties>
</file>